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4429" w14:textId="77777777" w:rsidR="00041A9B" w:rsidRDefault="00041A9B">
      <w:pPr>
        <w:pStyle w:val="Corpsdetexte"/>
        <w:spacing w:before="1"/>
        <w:rPr>
          <w:rFonts w:ascii="Times New Roman"/>
          <w:sz w:val="25"/>
        </w:rPr>
      </w:pPr>
    </w:p>
    <w:p w14:paraId="5576A76B" w14:textId="77777777" w:rsidR="00041A9B" w:rsidRDefault="00A9561F">
      <w:pPr>
        <w:pStyle w:val="Corpsdetexte"/>
        <w:ind w:left="112" w:right="-29"/>
        <w:rPr>
          <w:rFonts w:ascii="Times New Roman"/>
        </w:rPr>
      </w:pPr>
      <w:r>
        <w:rPr>
          <w:rFonts w:ascii="Times New Roman"/>
          <w:noProof/>
          <w:lang w:eastAsia="fr-FR"/>
        </w:rPr>
        <w:drawing>
          <wp:inline distT="0" distB="0" distL="0" distR="0" wp14:anchorId="292563B0" wp14:editId="1A6E2551">
            <wp:extent cx="6144733" cy="152133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144733" cy="1521332"/>
                    </a:xfrm>
                    <a:prstGeom prst="rect">
                      <a:avLst/>
                    </a:prstGeom>
                  </pic:spPr>
                </pic:pic>
              </a:graphicData>
            </a:graphic>
          </wp:inline>
        </w:drawing>
      </w:r>
    </w:p>
    <w:p w14:paraId="44019B7F" w14:textId="77777777" w:rsidR="00041A9B" w:rsidRDefault="00041A9B">
      <w:pPr>
        <w:pStyle w:val="Corpsdetexte"/>
        <w:spacing w:before="4"/>
        <w:rPr>
          <w:rFonts w:ascii="Times New Roman"/>
          <w:sz w:val="29"/>
        </w:rPr>
      </w:pPr>
    </w:p>
    <w:p w14:paraId="0CB738FF" w14:textId="77777777" w:rsidR="00041A9B" w:rsidRDefault="00A9561F">
      <w:pPr>
        <w:pStyle w:val="Titre1"/>
        <w:ind w:left="1253" w:right="1661"/>
      </w:pPr>
      <w:r>
        <w:t>LE</w:t>
      </w:r>
      <w:r>
        <w:rPr>
          <w:spacing w:val="-4"/>
        </w:rPr>
        <w:t xml:space="preserve"> </w:t>
      </w:r>
      <w:r>
        <w:t>FONDS</w:t>
      </w:r>
      <w:r>
        <w:rPr>
          <w:spacing w:val="-1"/>
        </w:rPr>
        <w:t xml:space="preserve"> </w:t>
      </w:r>
      <w:r>
        <w:t>EUROPEEN</w:t>
      </w:r>
      <w:r>
        <w:rPr>
          <w:spacing w:val="-2"/>
        </w:rPr>
        <w:t xml:space="preserve"> </w:t>
      </w:r>
      <w:r>
        <w:t>POUR</w:t>
      </w:r>
      <w:r>
        <w:rPr>
          <w:spacing w:val="-3"/>
        </w:rPr>
        <w:t xml:space="preserve"> </w:t>
      </w:r>
      <w:r>
        <w:t>LES</w:t>
      </w:r>
      <w:r>
        <w:rPr>
          <w:spacing w:val="2"/>
        </w:rPr>
        <w:t xml:space="preserve"> </w:t>
      </w:r>
      <w:r>
        <w:t>AFFAIRES</w:t>
      </w:r>
      <w:r>
        <w:rPr>
          <w:spacing w:val="-4"/>
        </w:rPr>
        <w:t xml:space="preserve"> </w:t>
      </w:r>
      <w:r>
        <w:t>MARITIMES</w:t>
      </w:r>
      <w:r>
        <w:rPr>
          <w:spacing w:val="-3"/>
        </w:rPr>
        <w:t xml:space="preserve"> </w:t>
      </w:r>
      <w:r>
        <w:t>ET</w:t>
      </w:r>
      <w:r>
        <w:rPr>
          <w:spacing w:val="-1"/>
        </w:rPr>
        <w:t xml:space="preserve"> </w:t>
      </w:r>
      <w:r>
        <w:t>LA</w:t>
      </w:r>
      <w:r>
        <w:rPr>
          <w:spacing w:val="-7"/>
        </w:rPr>
        <w:t xml:space="preserve"> </w:t>
      </w:r>
      <w:r>
        <w:t>PÊCHE</w:t>
      </w:r>
    </w:p>
    <w:p w14:paraId="6C124AA7" w14:textId="77777777" w:rsidR="00041A9B" w:rsidRDefault="00A9561F">
      <w:pPr>
        <w:spacing w:before="179" w:line="424" w:lineRule="auto"/>
        <w:ind w:left="3088" w:right="3497"/>
        <w:jc w:val="center"/>
        <w:rPr>
          <w:rFonts w:ascii="Arial" w:hAnsi="Arial"/>
          <w:b/>
          <w:sz w:val="20"/>
        </w:rPr>
      </w:pPr>
      <w:r>
        <w:rPr>
          <w:rFonts w:ascii="Arial" w:hAnsi="Arial"/>
          <w:b/>
          <w:sz w:val="20"/>
        </w:rPr>
        <w:t>Résumé</w:t>
      </w:r>
      <w:r>
        <w:rPr>
          <w:rFonts w:ascii="Arial" w:hAnsi="Arial"/>
          <w:b/>
          <w:spacing w:val="-5"/>
          <w:sz w:val="20"/>
        </w:rPr>
        <w:t xml:space="preserve"> </w:t>
      </w:r>
      <w:r>
        <w:rPr>
          <w:rFonts w:ascii="Arial" w:hAnsi="Arial"/>
          <w:b/>
          <w:sz w:val="20"/>
        </w:rPr>
        <w:t>à</w:t>
      </w:r>
      <w:r>
        <w:rPr>
          <w:rFonts w:ascii="Arial" w:hAnsi="Arial"/>
          <w:b/>
          <w:spacing w:val="-6"/>
          <w:sz w:val="20"/>
        </w:rPr>
        <w:t xml:space="preserve"> </w:t>
      </w:r>
      <w:r>
        <w:rPr>
          <w:rFonts w:ascii="Arial" w:hAnsi="Arial"/>
          <w:b/>
          <w:sz w:val="20"/>
        </w:rPr>
        <w:t>l’attention</w:t>
      </w:r>
      <w:r>
        <w:rPr>
          <w:rFonts w:ascii="Arial" w:hAnsi="Arial"/>
          <w:b/>
          <w:spacing w:val="-6"/>
          <w:sz w:val="20"/>
        </w:rPr>
        <w:t xml:space="preserve"> </w:t>
      </w:r>
      <w:r>
        <w:rPr>
          <w:rFonts w:ascii="Arial" w:hAnsi="Arial"/>
          <w:b/>
          <w:sz w:val="20"/>
        </w:rPr>
        <w:t>des</w:t>
      </w:r>
      <w:r>
        <w:rPr>
          <w:rFonts w:ascii="Arial" w:hAnsi="Arial"/>
          <w:b/>
          <w:spacing w:val="-4"/>
          <w:sz w:val="20"/>
        </w:rPr>
        <w:t xml:space="preserve"> </w:t>
      </w:r>
      <w:r>
        <w:rPr>
          <w:rFonts w:ascii="Arial" w:hAnsi="Arial"/>
          <w:b/>
          <w:sz w:val="20"/>
        </w:rPr>
        <w:t>citoyens</w:t>
      </w:r>
      <w:r>
        <w:rPr>
          <w:rFonts w:ascii="Arial" w:hAnsi="Arial"/>
          <w:b/>
          <w:spacing w:val="-53"/>
          <w:sz w:val="20"/>
        </w:rPr>
        <w:t xml:space="preserve"> </w:t>
      </w:r>
      <w:r>
        <w:rPr>
          <w:rFonts w:ascii="Arial" w:hAnsi="Arial"/>
          <w:b/>
          <w:sz w:val="20"/>
        </w:rPr>
        <w:t>Actions</w:t>
      </w:r>
      <w:r>
        <w:rPr>
          <w:rFonts w:ascii="Arial" w:hAnsi="Arial"/>
          <w:b/>
          <w:spacing w:val="-2"/>
          <w:sz w:val="20"/>
        </w:rPr>
        <w:t xml:space="preserve"> </w:t>
      </w:r>
      <w:r>
        <w:rPr>
          <w:rFonts w:ascii="Arial" w:hAnsi="Arial"/>
          <w:b/>
          <w:sz w:val="20"/>
        </w:rPr>
        <w:t>réalisées</w:t>
      </w:r>
      <w:r>
        <w:rPr>
          <w:rFonts w:ascii="Arial" w:hAnsi="Arial"/>
          <w:b/>
          <w:spacing w:val="-2"/>
          <w:sz w:val="20"/>
        </w:rPr>
        <w:t xml:space="preserve"> </w:t>
      </w:r>
      <w:r>
        <w:rPr>
          <w:rFonts w:ascii="Arial" w:hAnsi="Arial"/>
          <w:b/>
          <w:sz w:val="20"/>
        </w:rPr>
        <w:t>en</w:t>
      </w:r>
      <w:r>
        <w:rPr>
          <w:rFonts w:ascii="Arial" w:hAnsi="Arial"/>
          <w:b/>
          <w:spacing w:val="1"/>
          <w:sz w:val="20"/>
        </w:rPr>
        <w:t xml:space="preserve"> </w:t>
      </w:r>
      <w:r w:rsidR="00CA18E3">
        <w:rPr>
          <w:rFonts w:ascii="Arial" w:hAnsi="Arial"/>
          <w:b/>
          <w:sz w:val="20"/>
        </w:rPr>
        <w:t>2022</w:t>
      </w:r>
    </w:p>
    <w:p w14:paraId="14C6D578" w14:textId="77777777" w:rsidR="00041A9B" w:rsidRDefault="00041A9B">
      <w:pPr>
        <w:pStyle w:val="Corpsdetexte"/>
        <w:spacing w:before="11"/>
        <w:rPr>
          <w:rFonts w:ascii="Arial"/>
          <w:b/>
          <w:sz w:val="31"/>
        </w:rPr>
      </w:pPr>
    </w:p>
    <w:p w14:paraId="2AF8062E" w14:textId="77777777" w:rsidR="00041A9B" w:rsidRDefault="00A9561F">
      <w:pPr>
        <w:pStyle w:val="Corpsdetexte"/>
        <w:ind w:left="176" w:right="568"/>
        <w:jc w:val="both"/>
      </w:pPr>
      <w:r>
        <w:t>Créé en 2014, le Fonds Européen pour les Affaires Maritimes et la Pêche (FEAMP) a pour objet de</w:t>
      </w:r>
      <w:r>
        <w:rPr>
          <w:spacing w:val="1"/>
        </w:rPr>
        <w:t xml:space="preserve"> </w:t>
      </w:r>
      <w:r>
        <w:t>permettre</w:t>
      </w:r>
      <w:r>
        <w:rPr>
          <w:spacing w:val="1"/>
        </w:rPr>
        <w:t xml:space="preserve"> </w:t>
      </w:r>
      <w:r>
        <w:t>l’exploitation</w:t>
      </w:r>
      <w:r>
        <w:rPr>
          <w:spacing w:val="2"/>
        </w:rPr>
        <w:t xml:space="preserve"> </w:t>
      </w:r>
      <w:r>
        <w:t>durable</w:t>
      </w:r>
      <w:r>
        <w:rPr>
          <w:spacing w:val="2"/>
        </w:rPr>
        <w:t xml:space="preserve"> </w:t>
      </w:r>
      <w:r>
        <w:t>des</w:t>
      </w:r>
      <w:r>
        <w:rPr>
          <w:spacing w:val="5"/>
        </w:rPr>
        <w:t xml:space="preserve"> </w:t>
      </w:r>
      <w:r>
        <w:t>ressources</w:t>
      </w:r>
      <w:r>
        <w:rPr>
          <w:spacing w:val="2"/>
        </w:rPr>
        <w:t xml:space="preserve"> </w:t>
      </w:r>
      <w:r>
        <w:t>marines.</w:t>
      </w:r>
    </w:p>
    <w:p w14:paraId="0811E549" w14:textId="585B872B" w:rsidR="00041A9B" w:rsidRDefault="00A9561F">
      <w:pPr>
        <w:spacing w:before="167"/>
        <w:ind w:left="176" w:right="559"/>
        <w:jc w:val="both"/>
        <w:rPr>
          <w:rFonts w:ascii="Arial" w:hAnsi="Arial"/>
          <w:b/>
          <w:sz w:val="20"/>
        </w:rPr>
      </w:pPr>
      <w:r>
        <w:rPr>
          <w:sz w:val="20"/>
        </w:rPr>
        <w:t xml:space="preserve">Pour rappel, la France bénéficie d’une enveloppe de 588 millions de crédits européens </w:t>
      </w:r>
      <w:r w:rsidR="0005061A">
        <w:rPr>
          <w:sz w:val="20"/>
        </w:rPr>
        <w:t>sur l’ensemble de la programmation</w:t>
      </w:r>
      <w:r>
        <w:rPr>
          <w:sz w:val="20"/>
        </w:rPr>
        <w:t>,</w:t>
      </w:r>
      <w:r>
        <w:rPr>
          <w:spacing w:val="1"/>
          <w:sz w:val="20"/>
        </w:rPr>
        <w:t xml:space="preserve"> </w:t>
      </w:r>
      <w:r>
        <w:rPr>
          <w:sz w:val="20"/>
        </w:rPr>
        <w:t>auxquels</w:t>
      </w:r>
      <w:r>
        <w:rPr>
          <w:spacing w:val="1"/>
          <w:sz w:val="20"/>
        </w:rPr>
        <w:t xml:space="preserve"> </w:t>
      </w:r>
      <w:r>
        <w:rPr>
          <w:sz w:val="20"/>
        </w:rPr>
        <w:t>viennent</w:t>
      </w:r>
      <w:r>
        <w:rPr>
          <w:spacing w:val="1"/>
          <w:sz w:val="20"/>
        </w:rPr>
        <w:t xml:space="preserve"> </w:t>
      </w:r>
      <w:r>
        <w:rPr>
          <w:sz w:val="20"/>
        </w:rPr>
        <w:t>s’ajouter</w:t>
      </w:r>
      <w:r>
        <w:rPr>
          <w:spacing w:val="1"/>
          <w:sz w:val="20"/>
        </w:rPr>
        <w:t xml:space="preserve"> </w:t>
      </w:r>
      <w:r>
        <w:rPr>
          <w:sz w:val="20"/>
        </w:rPr>
        <w:t>186</w:t>
      </w:r>
      <w:r>
        <w:rPr>
          <w:spacing w:val="1"/>
          <w:sz w:val="20"/>
        </w:rPr>
        <w:t xml:space="preserve"> </w:t>
      </w:r>
      <w:r>
        <w:rPr>
          <w:sz w:val="20"/>
        </w:rPr>
        <w:t>millions</w:t>
      </w:r>
      <w:r>
        <w:rPr>
          <w:spacing w:val="1"/>
          <w:sz w:val="20"/>
        </w:rPr>
        <w:t xml:space="preserve"> </w:t>
      </w:r>
      <w:r>
        <w:rPr>
          <w:sz w:val="20"/>
        </w:rPr>
        <w:t>de</w:t>
      </w:r>
      <w:r>
        <w:rPr>
          <w:spacing w:val="1"/>
          <w:sz w:val="20"/>
        </w:rPr>
        <w:t xml:space="preserve"> </w:t>
      </w:r>
      <w:r>
        <w:rPr>
          <w:sz w:val="20"/>
        </w:rPr>
        <w:t>crédits</w:t>
      </w:r>
      <w:r w:rsidR="0005061A">
        <w:rPr>
          <w:sz w:val="20"/>
        </w:rPr>
        <w:t xml:space="preserve"> </w:t>
      </w:r>
      <w:r>
        <w:rPr>
          <w:spacing w:val="-51"/>
          <w:sz w:val="20"/>
        </w:rPr>
        <w:t xml:space="preserve"> </w:t>
      </w:r>
      <w:r w:rsidR="0005061A">
        <w:rPr>
          <w:spacing w:val="-51"/>
          <w:sz w:val="20"/>
        </w:rPr>
        <w:t xml:space="preserve"> </w:t>
      </w:r>
      <w:r>
        <w:rPr>
          <w:sz w:val="20"/>
        </w:rPr>
        <w:t>nationaux et régionaux</w:t>
      </w:r>
      <w:r w:rsidR="0075101D">
        <w:rPr>
          <w:sz w:val="20"/>
        </w:rPr>
        <w:t xml:space="preserve"> mobilisés en contrepartie</w:t>
      </w:r>
      <w:r w:rsidR="008B7BF3">
        <w:rPr>
          <w:sz w:val="20"/>
        </w:rPr>
        <w:t>, soit une enveloppe totale de 774 M€</w:t>
      </w:r>
      <w:r>
        <w:rPr>
          <w:sz w:val="20"/>
        </w:rPr>
        <w:t xml:space="preserve">. L’effet levier est important : </w:t>
      </w:r>
      <w:r>
        <w:rPr>
          <w:rFonts w:ascii="Arial" w:hAnsi="Arial"/>
          <w:b/>
          <w:sz w:val="20"/>
        </w:rPr>
        <w:t xml:space="preserve">1€ de crédits nationaux </w:t>
      </w:r>
      <w:r w:rsidR="0075101D">
        <w:rPr>
          <w:rFonts w:ascii="Arial" w:hAnsi="Arial"/>
          <w:b/>
          <w:sz w:val="20"/>
        </w:rPr>
        <w:t xml:space="preserve">et régionaux </w:t>
      </w:r>
      <w:r>
        <w:rPr>
          <w:rFonts w:ascii="Arial" w:hAnsi="Arial"/>
          <w:b/>
          <w:sz w:val="20"/>
        </w:rPr>
        <w:t>permet de</w:t>
      </w:r>
      <w:r>
        <w:rPr>
          <w:rFonts w:ascii="Arial" w:hAnsi="Arial"/>
          <w:b/>
          <w:spacing w:val="1"/>
          <w:sz w:val="20"/>
        </w:rPr>
        <w:t xml:space="preserve"> </w:t>
      </w:r>
      <w:r>
        <w:rPr>
          <w:rFonts w:ascii="Arial" w:hAnsi="Arial"/>
          <w:b/>
          <w:sz w:val="20"/>
        </w:rPr>
        <w:t>mobiliser</w:t>
      </w:r>
      <w:r>
        <w:rPr>
          <w:rFonts w:ascii="Arial" w:hAnsi="Arial"/>
          <w:b/>
          <w:spacing w:val="-2"/>
          <w:sz w:val="20"/>
        </w:rPr>
        <w:t xml:space="preserve"> </w:t>
      </w:r>
      <w:r>
        <w:rPr>
          <w:rFonts w:ascii="Arial" w:hAnsi="Arial"/>
          <w:b/>
          <w:sz w:val="20"/>
        </w:rPr>
        <w:t>3</w:t>
      </w:r>
      <w:r>
        <w:rPr>
          <w:rFonts w:ascii="Arial" w:hAnsi="Arial"/>
          <w:b/>
          <w:spacing w:val="1"/>
          <w:sz w:val="20"/>
        </w:rPr>
        <w:t xml:space="preserve"> </w:t>
      </w:r>
      <w:r>
        <w:rPr>
          <w:rFonts w:ascii="Arial" w:hAnsi="Arial"/>
          <w:b/>
          <w:sz w:val="20"/>
        </w:rPr>
        <w:t>€</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crédits</w:t>
      </w:r>
      <w:r>
        <w:rPr>
          <w:rFonts w:ascii="Arial" w:hAnsi="Arial"/>
          <w:b/>
          <w:spacing w:val="3"/>
          <w:sz w:val="20"/>
        </w:rPr>
        <w:t xml:space="preserve"> </w:t>
      </w:r>
      <w:r>
        <w:rPr>
          <w:rFonts w:ascii="Arial" w:hAnsi="Arial"/>
          <w:b/>
          <w:sz w:val="20"/>
        </w:rPr>
        <w:t>européens.</w:t>
      </w:r>
    </w:p>
    <w:p w14:paraId="5D10412F" w14:textId="71AFA817" w:rsidR="008A1224" w:rsidRPr="008A1224" w:rsidRDefault="00A9561F">
      <w:pPr>
        <w:pStyle w:val="Corpsdetexte"/>
        <w:spacing w:before="163" w:line="242" w:lineRule="auto"/>
        <w:ind w:left="176" w:right="553"/>
        <w:jc w:val="both"/>
      </w:pPr>
      <w:r>
        <w:t>Par</w:t>
      </w:r>
      <w:r>
        <w:rPr>
          <w:spacing w:val="-8"/>
        </w:rPr>
        <w:t xml:space="preserve"> </w:t>
      </w:r>
      <w:r>
        <w:t>la</w:t>
      </w:r>
      <w:r>
        <w:rPr>
          <w:spacing w:val="-9"/>
        </w:rPr>
        <w:t xml:space="preserve"> </w:t>
      </w:r>
      <w:r>
        <w:t>mobilisation</w:t>
      </w:r>
      <w:r>
        <w:rPr>
          <w:spacing w:val="-9"/>
        </w:rPr>
        <w:t xml:space="preserve"> </w:t>
      </w:r>
      <w:r>
        <w:t>de</w:t>
      </w:r>
      <w:r>
        <w:rPr>
          <w:spacing w:val="-9"/>
        </w:rPr>
        <w:t xml:space="preserve"> </w:t>
      </w:r>
      <w:r>
        <w:t>l’ensemble</w:t>
      </w:r>
      <w:r>
        <w:rPr>
          <w:spacing w:val="-8"/>
        </w:rPr>
        <w:t xml:space="preserve"> </w:t>
      </w:r>
      <w:r>
        <w:t>des</w:t>
      </w:r>
      <w:r>
        <w:rPr>
          <w:spacing w:val="-7"/>
        </w:rPr>
        <w:t xml:space="preserve"> </w:t>
      </w:r>
      <w:r>
        <w:t>acteurs</w:t>
      </w:r>
      <w:r>
        <w:rPr>
          <w:spacing w:val="-7"/>
        </w:rPr>
        <w:t xml:space="preserve"> </w:t>
      </w:r>
      <w:r>
        <w:t>nationaux</w:t>
      </w:r>
      <w:r>
        <w:rPr>
          <w:spacing w:val="-7"/>
        </w:rPr>
        <w:t xml:space="preserve"> </w:t>
      </w:r>
      <w:r>
        <w:t>et</w:t>
      </w:r>
      <w:r>
        <w:rPr>
          <w:spacing w:val="-9"/>
        </w:rPr>
        <w:t xml:space="preserve"> </w:t>
      </w:r>
      <w:r>
        <w:t>régionaux,</w:t>
      </w:r>
      <w:r>
        <w:rPr>
          <w:spacing w:val="-8"/>
        </w:rPr>
        <w:t xml:space="preserve"> </w:t>
      </w:r>
      <w:r>
        <w:t>la</w:t>
      </w:r>
      <w:r>
        <w:rPr>
          <w:spacing w:val="-9"/>
        </w:rPr>
        <w:t xml:space="preserve"> </w:t>
      </w:r>
      <w:r>
        <w:t>France</w:t>
      </w:r>
      <w:r>
        <w:rPr>
          <w:spacing w:val="-8"/>
        </w:rPr>
        <w:t xml:space="preserve"> </w:t>
      </w:r>
      <w:r>
        <w:t>a</w:t>
      </w:r>
      <w:r>
        <w:rPr>
          <w:spacing w:val="-9"/>
        </w:rPr>
        <w:t xml:space="preserve"> </w:t>
      </w:r>
      <w:r>
        <w:t>consomm</w:t>
      </w:r>
      <w:r w:rsidR="005A7B15">
        <w:t>é</w:t>
      </w:r>
      <w:r>
        <w:rPr>
          <w:spacing w:val="-8"/>
        </w:rPr>
        <w:t xml:space="preserve"> </w:t>
      </w:r>
      <w:r>
        <w:t>une</w:t>
      </w:r>
      <w:r>
        <w:rPr>
          <w:spacing w:val="-8"/>
        </w:rPr>
        <w:t xml:space="preserve"> </w:t>
      </w:r>
      <w:r>
        <w:t>part</w:t>
      </w:r>
      <w:r>
        <w:rPr>
          <w:spacing w:val="-9"/>
        </w:rPr>
        <w:t xml:space="preserve"> </w:t>
      </w:r>
      <w:r>
        <w:t>notable</w:t>
      </w:r>
      <w:r>
        <w:rPr>
          <w:spacing w:val="1"/>
        </w:rPr>
        <w:t xml:space="preserve"> </w:t>
      </w:r>
      <w:r>
        <w:t>de l’enveloppe</w:t>
      </w:r>
      <w:r>
        <w:rPr>
          <w:spacing w:val="2"/>
        </w:rPr>
        <w:t xml:space="preserve"> </w:t>
      </w:r>
      <w:r w:rsidR="0075101D">
        <w:t>allouée</w:t>
      </w:r>
      <w:r w:rsidR="0075101D">
        <w:rPr>
          <w:spacing w:val="2"/>
        </w:rPr>
        <w:t xml:space="preserve"> </w:t>
      </w:r>
      <w:r w:rsidR="00E32337">
        <w:t>en</w:t>
      </w:r>
      <w:r w:rsidR="00E32337">
        <w:rPr>
          <w:spacing w:val="5"/>
        </w:rPr>
        <w:t xml:space="preserve"> </w:t>
      </w:r>
      <w:r w:rsidR="00E32337">
        <w:t>terme</w:t>
      </w:r>
      <w:r w:rsidR="00E32337">
        <w:rPr>
          <w:spacing w:val="2"/>
        </w:rPr>
        <w:t>s de</w:t>
      </w:r>
      <w:r>
        <w:t xml:space="preserve"> crédits</w:t>
      </w:r>
      <w:r>
        <w:rPr>
          <w:spacing w:val="3"/>
        </w:rPr>
        <w:t xml:space="preserve"> </w:t>
      </w:r>
      <w:r>
        <w:t>européens.</w:t>
      </w:r>
      <w:r w:rsidRPr="00A9561F">
        <w:t xml:space="preserve"> </w:t>
      </w:r>
      <w:r>
        <w:t>L’année 2022 a donc été marquée par de nets progrès dans les engagements</w:t>
      </w:r>
      <w:r w:rsidR="0075101D">
        <w:t xml:space="preserve"> :</w:t>
      </w:r>
      <w:r>
        <w:t xml:space="preserve"> </w:t>
      </w:r>
      <w:r w:rsidR="0075101D">
        <w:t xml:space="preserve">565 </w:t>
      </w:r>
      <w:r w:rsidR="0005061A">
        <w:t>millions</w:t>
      </w:r>
      <w:r w:rsidR="0075101D">
        <w:t xml:space="preserve">€ ont été engagés au 31 décembre 2022, contre 498 </w:t>
      </w:r>
      <w:r w:rsidR="0005061A">
        <w:t>millions</w:t>
      </w:r>
      <w:r w:rsidR="0075101D">
        <w:t>€ fin 2021</w:t>
      </w:r>
      <w:r w:rsidR="008B7BF3">
        <w:t>,</w:t>
      </w:r>
      <w:r w:rsidR="0075101D">
        <w:t xml:space="preserve"> </w:t>
      </w:r>
      <w:r w:rsidR="008B7BF3">
        <w:t xml:space="preserve">ce </w:t>
      </w:r>
      <w:r w:rsidR="0005061A">
        <w:t xml:space="preserve">qui a permis </w:t>
      </w:r>
      <w:r w:rsidR="0075101D">
        <w:t>d’atteindre un taux d’engagement de la maquette de 99,4</w:t>
      </w:r>
      <w:r w:rsidR="00DE74AA">
        <w:t>%, contre</w:t>
      </w:r>
      <w:r w:rsidR="0075101D">
        <w:t xml:space="preserve"> 58% en 2021. L’année </w:t>
      </w:r>
      <w:r w:rsidR="0005061A">
        <w:t xml:space="preserve">2022 </w:t>
      </w:r>
      <w:r w:rsidR="0075101D">
        <w:t xml:space="preserve">se caractérise également par une accélération des paiements puisqu’ils ont atteint un total de 388 millions d’euros, contre 313 </w:t>
      </w:r>
      <w:r w:rsidR="0005061A">
        <w:t>millions</w:t>
      </w:r>
      <w:r w:rsidR="0075101D">
        <w:t>€ en 2021), portant le taux de paiements à 66%, contre 52% en 2021.</w:t>
      </w:r>
      <w:r w:rsidR="00CA2E54">
        <w:t xml:space="preserve"> </w:t>
      </w:r>
      <w:r w:rsidR="00CA2E54" w:rsidRPr="00F848BB">
        <w:t>Il est à noter, qu’</w:t>
      </w:r>
      <w:r w:rsidR="008B7BF3">
        <w:t>en</w:t>
      </w:r>
      <w:r w:rsidR="00CA2E54" w:rsidRPr="00F848BB">
        <w:t xml:space="preserve"> août 2023, le taux d’engagement est de 9</w:t>
      </w:r>
      <w:r w:rsidR="00CA2E54">
        <w:t>9</w:t>
      </w:r>
      <w:r w:rsidR="00CA2E54" w:rsidRPr="00F848BB">
        <w:t>%</w:t>
      </w:r>
      <w:r w:rsidR="00CA2E54">
        <w:t xml:space="preserve"> et l</w:t>
      </w:r>
      <w:r w:rsidR="00CA2E54" w:rsidRPr="00F848BB">
        <w:t xml:space="preserve">e taux de paiement de </w:t>
      </w:r>
      <w:r w:rsidR="00CA2E54">
        <w:t>75</w:t>
      </w:r>
      <w:r w:rsidR="00CA2E54" w:rsidRPr="00F848BB">
        <w:t>%.</w:t>
      </w:r>
    </w:p>
    <w:p w14:paraId="4C8D2B10" w14:textId="3CCD7191" w:rsidR="00F93497" w:rsidRDefault="00F93497" w:rsidP="00DE74AA">
      <w:pPr>
        <w:pStyle w:val="Corpsdetexte"/>
        <w:spacing w:before="166" w:line="242" w:lineRule="auto"/>
        <w:ind w:left="176" w:right="554"/>
        <w:jc w:val="both"/>
      </w:pPr>
      <w:r>
        <w:t>La priorité 1 qui vise à encourager une pêche durable</w:t>
      </w:r>
      <w:r w:rsidR="008B7BF3">
        <w:t>,</w:t>
      </w:r>
      <w:r>
        <w:t xml:space="preserve"> efficace dans l’utilisation des ressources, innovante, compétitive et fondée sur les </w:t>
      </w:r>
      <w:r w:rsidR="00DE74AA">
        <w:t>connaissances, est</w:t>
      </w:r>
      <w:r w:rsidR="0005061A">
        <w:t xml:space="preserve"> dotée d’une enveloppe de</w:t>
      </w:r>
      <w:r w:rsidR="000E48E7">
        <w:t xml:space="preserve"> 121</w:t>
      </w:r>
      <w:r w:rsidR="008B7BF3">
        <w:t xml:space="preserve"> </w:t>
      </w:r>
      <w:r w:rsidR="000E48E7">
        <w:t>752</w:t>
      </w:r>
      <w:r w:rsidR="008B7BF3">
        <w:t xml:space="preserve"> </w:t>
      </w:r>
      <w:r w:rsidR="000E48E7">
        <w:t>640€</w:t>
      </w:r>
      <w:r w:rsidR="008B7BF3">
        <w:t xml:space="preserve"> qui </w:t>
      </w:r>
      <w:r w:rsidR="00DE74AA">
        <w:t xml:space="preserve">a été entièrement consommée. </w:t>
      </w:r>
      <w:r>
        <w:t xml:space="preserve">La protection et la restauration de la biodiversité et des écosystèmes marins constituent un enjeu capital de la </w:t>
      </w:r>
      <w:r w:rsidR="00CA2E54">
        <w:t>politique commune des pêches (</w:t>
      </w:r>
      <w:r>
        <w:t>PCP</w:t>
      </w:r>
      <w:r w:rsidR="00CA2E54">
        <w:t>)</w:t>
      </w:r>
      <w:r>
        <w:t xml:space="preserve">. Grâce au déploiement du FEAMP, la France a </w:t>
      </w:r>
      <w:r w:rsidR="008B7BF3">
        <w:t xml:space="preserve">ainsi </w:t>
      </w:r>
      <w:r>
        <w:t xml:space="preserve">mis en place des projets visant à protéger et rétablir la biodiversité dans le cadre d’activités de pêche durables, dont par exemple le projet MESH </w:t>
      </w:r>
      <w:r w:rsidRPr="00F93497">
        <w:t>porté par le Centre National de la Recherche Scientifiques (mesure 40)</w:t>
      </w:r>
      <w:r w:rsidR="008B7BF3">
        <w:t xml:space="preserve"> qui</w:t>
      </w:r>
      <w:r w:rsidRPr="00F93497">
        <w:t xml:space="preserve"> met en place un dispositif d'acquisition de nouvelles connaissances sur le rôle des mangroves dans le renouvellement et le maintien de la diversité des juvéniles de poissons et de crustacés en Guyane</w:t>
      </w:r>
      <w:r w:rsidR="008B7BF3">
        <w:t xml:space="preserve"> et </w:t>
      </w:r>
      <w:r w:rsidRPr="00F93497">
        <w:t>visera à suivre la qualité des milieux dans un contexte de forte croissance des activités humaines dont la pérennisation est fortement tributaire de moyens d’alerte, scientifiquement validés, sur la dégradation des milieux et l’impact des changements climatiques.</w:t>
      </w:r>
    </w:p>
    <w:p w14:paraId="67B1F4F6" w14:textId="36702E9D" w:rsidR="00F93497" w:rsidRDefault="00F93497">
      <w:pPr>
        <w:pStyle w:val="Corpsdetexte"/>
        <w:spacing w:before="166" w:line="242" w:lineRule="auto"/>
        <w:ind w:left="176" w:right="554"/>
        <w:jc w:val="both"/>
      </w:pPr>
      <w:r>
        <w:t xml:space="preserve">La priorité 2 visant à favoriser une aquaculture durable sur le plan environnemental </w:t>
      </w:r>
      <w:r w:rsidR="000E48E7">
        <w:t>et dotée d’une enveloppe de 127</w:t>
      </w:r>
      <w:r w:rsidR="008B7BF3">
        <w:t xml:space="preserve"> </w:t>
      </w:r>
      <w:r w:rsidR="000E48E7">
        <w:t>865</w:t>
      </w:r>
      <w:r w:rsidR="008B7BF3">
        <w:t xml:space="preserve"> </w:t>
      </w:r>
      <w:r w:rsidR="000E48E7">
        <w:t xml:space="preserve">628€ </w:t>
      </w:r>
      <w:r>
        <w:t xml:space="preserve">a </w:t>
      </w:r>
      <w:r w:rsidR="008B7BF3">
        <w:t xml:space="preserve">poursuivi </w:t>
      </w:r>
      <w:r>
        <w:t xml:space="preserve">sa </w:t>
      </w:r>
      <w:r w:rsidR="008B7BF3">
        <w:t>consommation</w:t>
      </w:r>
      <w:r>
        <w:t xml:space="preserve">. </w:t>
      </w:r>
      <w:r w:rsidR="008B7BF3">
        <w:t xml:space="preserve">Elle </w:t>
      </w:r>
      <w:r w:rsidR="00AF2C69">
        <w:t xml:space="preserve">a par exemple permis de financer le projet </w:t>
      </w:r>
      <w:r w:rsidR="002A22CA">
        <w:t xml:space="preserve">de la ferme d’Arun </w:t>
      </w:r>
      <w:r w:rsidR="008B7BF3">
        <w:t xml:space="preserve">(Finistère) </w:t>
      </w:r>
      <w:r w:rsidR="002A22CA">
        <w:t>sur la mesure 48</w:t>
      </w:r>
      <w:r w:rsidR="00FC347B">
        <w:t xml:space="preserve"> (modernisation et développement dans l’aquaculture)</w:t>
      </w:r>
      <w:r w:rsidR="008B7BF3">
        <w:t xml:space="preserve"> </w:t>
      </w:r>
      <w:r w:rsidR="002A22CA" w:rsidRPr="002A22CA">
        <w:t xml:space="preserve">pour produire des juvéniles de coquillages </w:t>
      </w:r>
      <w:r w:rsidR="008B7BF3">
        <w:t>peu cultivés dans</w:t>
      </w:r>
      <w:r w:rsidR="008B7BF3" w:rsidRPr="002A22CA">
        <w:t xml:space="preserve"> </w:t>
      </w:r>
      <w:r w:rsidR="002A22CA" w:rsidRPr="002A22CA">
        <w:t xml:space="preserve">ce secteur </w:t>
      </w:r>
      <w:r w:rsidR="008B7BF3">
        <w:t xml:space="preserve">comme </w:t>
      </w:r>
      <w:r w:rsidR="002A22CA" w:rsidRPr="002A22CA">
        <w:t>l'huître plate et le pétoncle noir. Ce projet est axé sur le respect de la biodiversité car il participe à la diversification de l</w:t>
      </w:r>
      <w:r w:rsidR="002A22CA">
        <w:t>a production</w:t>
      </w:r>
      <w:r w:rsidR="002A22CA" w:rsidRPr="002A22CA">
        <w:t xml:space="preserve"> aquacole et des espèces élevées</w:t>
      </w:r>
      <w:r w:rsidR="002A22CA">
        <w:t xml:space="preserve">. </w:t>
      </w:r>
    </w:p>
    <w:p w14:paraId="202002D1" w14:textId="77777777" w:rsidR="001314A4" w:rsidRDefault="001314A4">
      <w:pPr>
        <w:rPr>
          <w:sz w:val="20"/>
          <w:szCs w:val="20"/>
        </w:rPr>
      </w:pPr>
      <w:r>
        <w:br w:type="page"/>
      </w:r>
    </w:p>
    <w:p w14:paraId="662E0BEC" w14:textId="7B95DF4A" w:rsidR="00693022" w:rsidRDefault="00693022">
      <w:pPr>
        <w:pStyle w:val="Corpsdetexte"/>
        <w:spacing w:before="166" w:line="242" w:lineRule="auto"/>
        <w:ind w:left="176" w:right="554"/>
        <w:jc w:val="both"/>
      </w:pPr>
      <w:r>
        <w:lastRenderedPageBreak/>
        <w:t>L</w:t>
      </w:r>
      <w:r w:rsidR="00CA2E54">
        <w:t>es mesures de l</w:t>
      </w:r>
      <w:r>
        <w:t>a priorité 3</w:t>
      </w:r>
      <w:r w:rsidR="00CA2E54">
        <w:t>,</w:t>
      </w:r>
      <w:r>
        <w:t xml:space="preserve"> dont l’objectif est de favoriser la mise en œuvre de la politique commune de la pêche</w:t>
      </w:r>
      <w:r w:rsidR="00CA2E54">
        <w:t xml:space="preserve"> et</w:t>
      </w:r>
      <w:r>
        <w:t xml:space="preserve"> rassemblant </w:t>
      </w:r>
      <w:r w:rsidR="00CA2E54">
        <w:t xml:space="preserve">notamment </w:t>
      </w:r>
      <w:r>
        <w:t xml:space="preserve">les mesures </w:t>
      </w:r>
      <w:r w:rsidR="000D0549">
        <w:t>gérées au niveau national</w:t>
      </w:r>
      <w:r>
        <w:t>, ont bénéficié d’un allongement de leur durée afin d’assurer une bonne transition vers la programmation du FEAMPA</w:t>
      </w:r>
      <w:r w:rsidR="00CA2E54">
        <w:t xml:space="preserve"> mise en œuvre à partir de 20</w:t>
      </w:r>
      <w:r w:rsidR="000E48E7">
        <w:t>2</w:t>
      </w:r>
      <w:r w:rsidR="00CA2E54">
        <w:t>3</w:t>
      </w:r>
      <w:r>
        <w:t>.</w:t>
      </w:r>
      <w:r w:rsidR="000E48E7">
        <w:t xml:space="preserve"> L’enveloppe initiale de la priorité 3 est de 122</w:t>
      </w:r>
      <w:r w:rsidR="008B7BF3">
        <w:t xml:space="preserve"> </w:t>
      </w:r>
      <w:r w:rsidR="000E48E7">
        <w:t>721</w:t>
      </w:r>
      <w:r w:rsidR="008B7BF3">
        <w:t xml:space="preserve"> </w:t>
      </w:r>
      <w:r w:rsidR="000E48E7">
        <w:t>986€.</w:t>
      </w:r>
      <w:r>
        <w:t xml:space="preserve"> Les mesures 76 </w:t>
      </w:r>
      <w:r w:rsidR="00FC347B">
        <w:t xml:space="preserve">(soutien aux administrations et entreprises – contrôles) </w:t>
      </w:r>
      <w:r>
        <w:t>et 77</w:t>
      </w:r>
      <w:r w:rsidR="00FC347B">
        <w:t xml:space="preserve"> (collecte de données)</w:t>
      </w:r>
      <w:r>
        <w:t xml:space="preserve"> ont été entièrement consommées. Cette mesure a </w:t>
      </w:r>
      <w:r w:rsidR="008B7BF3">
        <w:t xml:space="preserve">par exemple </w:t>
      </w:r>
      <w:r>
        <w:t xml:space="preserve">permis de soutenir l’opération “Observation à la mer CICTA 2017 Thon rouge” qui permet de financer des observateurs </w:t>
      </w:r>
      <w:r w:rsidR="00863B1D">
        <w:t xml:space="preserve">sur le thon rouge. </w:t>
      </w:r>
    </w:p>
    <w:p w14:paraId="57B2CA1A" w14:textId="00028B22" w:rsidR="00693022" w:rsidRDefault="00693022">
      <w:pPr>
        <w:pStyle w:val="Corpsdetexte"/>
        <w:spacing w:before="166" w:line="242" w:lineRule="auto"/>
        <w:ind w:left="176" w:right="554"/>
        <w:jc w:val="both"/>
      </w:pPr>
      <w:r>
        <w:t xml:space="preserve">La </w:t>
      </w:r>
      <w:r w:rsidR="0030688C">
        <w:t xml:space="preserve">consommation de la </w:t>
      </w:r>
      <w:r>
        <w:t>priorité 4 visant à améliorer l’emploi et renforcer la cohésion territoriale</w:t>
      </w:r>
      <w:r w:rsidR="0030688C">
        <w:t xml:space="preserve"> a connu une nette progression de la consommation qui a notamment été permise grâce à la mesure 63 (modernisation dans la commercialisation et la transformation). D</w:t>
      </w:r>
      <w:r w:rsidR="000E48E7">
        <w:t>otée d’une enveloppe de 20</w:t>
      </w:r>
      <w:r w:rsidR="0030688C">
        <w:t xml:space="preserve"> </w:t>
      </w:r>
      <w:r w:rsidR="000E48E7">
        <w:t>430</w:t>
      </w:r>
      <w:r w:rsidR="0030688C">
        <w:t xml:space="preserve"> </w:t>
      </w:r>
      <w:r w:rsidR="000E48E7">
        <w:t>353</w:t>
      </w:r>
      <w:r w:rsidR="0030688C">
        <w:t> </w:t>
      </w:r>
      <w:r w:rsidR="000E48E7">
        <w:t>€</w:t>
      </w:r>
      <w:proofErr w:type="gramStart"/>
      <w:r w:rsidR="000E48E7">
        <w:t>,</w:t>
      </w:r>
      <w:r>
        <w:t xml:space="preserve"> ,</w:t>
      </w:r>
      <w:proofErr w:type="gramEnd"/>
      <w:r w:rsidR="0030688C">
        <w:t xml:space="preserve">, cette priorité a financé </w:t>
      </w:r>
      <w:r>
        <w:t xml:space="preserve">670 opérations. </w:t>
      </w:r>
      <w:r w:rsidR="0030688C">
        <w:t xml:space="preserve">Elle </w:t>
      </w:r>
      <w:r>
        <w:t>a aussi participé à l’atteinte d’objectifs prévus pour les autres priorités comme la préservation des écosystèmes et le développement durable. Le projet FEVIDER (mesure 62) d’Ifremer qui s’articule autour d’analyses de diversité dans l’écosystème de la Rade de Brest en vue de l’amélioration des activités des professionnels de l’ostréicultur</w:t>
      </w:r>
      <w:r w:rsidR="002A22CA">
        <w:t>e</w:t>
      </w:r>
      <w:r>
        <w:t xml:space="preserve"> permet d’obtenir une gestion des risques de mortalité associés aux agents pathogènes qui est un élément clé de la durabilité de la conchyliculture. Selon les résultats obtenus</w:t>
      </w:r>
      <w:r w:rsidR="0030688C">
        <w:t>,</w:t>
      </w:r>
      <w:r>
        <w:t xml:space="preserve"> ce projet pourrait aboutir à recommander des pratiques d’élevage fondées sur le maintien d’une diversité biologique élevée afin de limiter le risque de maladie. </w:t>
      </w:r>
    </w:p>
    <w:p w14:paraId="7E57D98B" w14:textId="3E8562FB" w:rsidR="00693022" w:rsidRDefault="00693022">
      <w:pPr>
        <w:pStyle w:val="Corpsdetexte"/>
        <w:spacing w:before="166" w:line="242" w:lineRule="auto"/>
        <w:ind w:left="176" w:right="554"/>
        <w:jc w:val="both"/>
      </w:pPr>
      <w:r>
        <w:t>La priorité 5</w:t>
      </w:r>
      <w:r w:rsidR="00CA2E54">
        <w:t>,</w:t>
      </w:r>
      <w:r>
        <w:t xml:space="preserve"> qui favorise la commercialisation et la </w:t>
      </w:r>
      <w:r w:rsidR="002C6E3F">
        <w:t>transformation,</w:t>
      </w:r>
      <w:r>
        <w:t xml:space="preserve"> </w:t>
      </w:r>
      <w:proofErr w:type="gramStart"/>
      <w:r>
        <w:t>a elle</w:t>
      </w:r>
      <w:proofErr w:type="gramEnd"/>
      <w:r>
        <w:t xml:space="preserve"> aussi connu une progression</w:t>
      </w:r>
      <w:r w:rsidR="0030688C">
        <w:t xml:space="preserve"> de la consommation de son enveloppe de 85 866 993€</w:t>
      </w:r>
      <w:r>
        <w:t xml:space="preserve">. En effet, les mesures </w:t>
      </w:r>
      <w:r w:rsidR="00E168ED">
        <w:t xml:space="preserve">66, 67 et </w:t>
      </w:r>
      <w:r w:rsidR="002C6E3F">
        <w:t>69,</w:t>
      </w:r>
      <w:r w:rsidR="0030688C">
        <w:t xml:space="preserve"> </w:t>
      </w:r>
      <w:r w:rsidR="00FC347B">
        <w:t>ayant pour objectif de promouvoir et moderniser la commercialisation et la transformation</w:t>
      </w:r>
      <w:r w:rsidR="0030688C">
        <w:t>,</w:t>
      </w:r>
      <w:r w:rsidR="00E168ED">
        <w:t xml:space="preserve"> ont été quasiment intégralement consommées. </w:t>
      </w:r>
    </w:p>
    <w:p w14:paraId="77DBF51C" w14:textId="2B84C0C2" w:rsidR="00E168ED" w:rsidRDefault="00E168ED">
      <w:pPr>
        <w:pStyle w:val="Corpsdetexte"/>
        <w:spacing w:before="166" w:line="242" w:lineRule="auto"/>
        <w:ind w:left="176" w:right="554"/>
        <w:jc w:val="both"/>
      </w:pPr>
      <w:r>
        <w:t xml:space="preserve">La </w:t>
      </w:r>
      <w:r w:rsidR="0030688C">
        <w:t xml:space="preserve">consommation de l’enveloppe de 4 991 532 € de la </w:t>
      </w:r>
      <w:r>
        <w:t>priorité 6 favorisant la mise en œuvre de la politique maritime intégrée</w:t>
      </w:r>
      <w:r w:rsidR="000E48E7">
        <w:t xml:space="preserve"> </w:t>
      </w:r>
      <w:r>
        <w:t xml:space="preserve">a connu </w:t>
      </w:r>
      <w:r w:rsidR="002C6E3F">
        <w:t>un fort engagement</w:t>
      </w:r>
      <w:r>
        <w:t xml:space="preserve"> </w:t>
      </w:r>
      <w:r w:rsidR="0098326A">
        <w:t xml:space="preserve">car de nombreux dossiers ont été </w:t>
      </w:r>
      <w:r w:rsidR="00514DDD">
        <w:t>sélectionnés</w:t>
      </w:r>
      <w:r w:rsidR="0098326A">
        <w:t xml:space="preserve"> sur cette priorité. Néanmoins,</w:t>
      </w:r>
      <w:r>
        <w:t xml:space="preserve"> son taux de paiement reste encore faible. </w:t>
      </w:r>
      <w:r w:rsidR="00863B1D">
        <w:t xml:space="preserve">Ainsi, les paiements devront être renforcés avant la clôture du FEAMP. </w:t>
      </w:r>
    </w:p>
    <w:p w14:paraId="165111F7" w14:textId="1EE38AE6" w:rsidR="00E168ED" w:rsidRDefault="00E168ED">
      <w:pPr>
        <w:pStyle w:val="Corpsdetexte"/>
        <w:spacing w:before="166" w:line="242" w:lineRule="auto"/>
        <w:ind w:left="176" w:right="554"/>
        <w:jc w:val="both"/>
      </w:pPr>
      <w:r>
        <w:t>Enfin, l’assistance technique</w:t>
      </w:r>
      <w:r w:rsidR="000E48E7">
        <w:t xml:space="preserve">, </w:t>
      </w:r>
      <w:r w:rsidR="0098326A">
        <w:t xml:space="preserve">qui a pour but de répondre à des besoins administratifs sur le FEAMP comme assurer la bonne gestion du fonds, </w:t>
      </w:r>
      <w:r w:rsidR="002B7E9F">
        <w:t>a été</w:t>
      </w:r>
      <w:r w:rsidR="0098326A">
        <w:t xml:space="preserve"> quasiment intégralement consommé. En effet, son enveloppe </w:t>
      </w:r>
      <w:r>
        <w:t xml:space="preserve">a </w:t>
      </w:r>
      <w:r w:rsidR="0098326A">
        <w:t xml:space="preserve">permis d’engager </w:t>
      </w:r>
      <w:r>
        <w:t>36 dossiers pour 29 millions d’euros. L’assistance technique a également été mobilisée pour l’élaboration du prochain programme et le lancement de sa mise en œuvre. En région, l’assistance technique est mobilisée afin de renforcer les équipes d’instruction sur le terrain c’est notamment le cas de Mayotte et de la Réunion qui ont pérennisé deux intérimaires chacun</w:t>
      </w:r>
    </w:p>
    <w:p w14:paraId="55DF7D97" w14:textId="18F2FBC2" w:rsidR="00577796" w:rsidRDefault="00E168ED" w:rsidP="00577796">
      <w:pPr>
        <w:pStyle w:val="Corpsdetexte"/>
        <w:spacing w:before="166" w:line="242" w:lineRule="auto"/>
        <w:ind w:left="176" w:right="554"/>
        <w:jc w:val="both"/>
      </w:pPr>
      <w:r>
        <w:t xml:space="preserve">Cette année 2022 a également été marquée par l’acceptation du programme national ainsi que la mise en place du FEAMPA. Ces efforts se poursuivent </w:t>
      </w:r>
      <w:r w:rsidR="00754335">
        <w:t>sur l’année</w:t>
      </w:r>
      <w:r>
        <w:t xml:space="preserve"> 2023 afin de pouvoir clôturer le FEAMP dans les meilleures conditions et réaliser un début satisfaisant sur le FEAMPA. </w:t>
      </w:r>
    </w:p>
    <w:p w14:paraId="29988867" w14:textId="79E1DC93" w:rsidR="00577796" w:rsidRDefault="00577796" w:rsidP="00577796">
      <w:pPr>
        <w:pStyle w:val="Corpsdetexte"/>
        <w:spacing w:before="166" w:line="242" w:lineRule="auto"/>
        <w:ind w:left="176" w:right="554"/>
        <w:jc w:val="both"/>
      </w:pPr>
    </w:p>
    <w:p w14:paraId="25C2259E" w14:textId="77777777" w:rsidR="008A1224" w:rsidRDefault="008A1224">
      <w:pPr>
        <w:pStyle w:val="Titre1"/>
        <w:spacing w:before="160"/>
        <w:jc w:val="both"/>
      </w:pPr>
    </w:p>
    <w:p w14:paraId="2429E31C" w14:textId="2C389554" w:rsidR="00041A9B" w:rsidRDefault="00041A9B">
      <w:pPr>
        <w:pStyle w:val="Corpsdetexte"/>
        <w:rPr>
          <w:rFonts w:ascii="Arial"/>
          <w:b/>
        </w:rPr>
      </w:pPr>
    </w:p>
    <w:p w14:paraId="11C57868" w14:textId="5FA8ECCB" w:rsidR="00EC2B0F" w:rsidRDefault="00EC2B0F">
      <w:pPr>
        <w:pStyle w:val="Corpsdetexte"/>
        <w:rPr>
          <w:rFonts w:ascii="Arial"/>
          <w:b/>
        </w:rPr>
      </w:pPr>
    </w:p>
    <w:p w14:paraId="6E911EBB" w14:textId="5054D6DB" w:rsidR="00EC2B0F" w:rsidRDefault="00EC2B0F">
      <w:pPr>
        <w:pStyle w:val="Corpsdetexte"/>
        <w:rPr>
          <w:rFonts w:ascii="Arial"/>
          <w:b/>
        </w:rPr>
      </w:pPr>
    </w:p>
    <w:p w14:paraId="61C37130" w14:textId="21DA3247" w:rsidR="00EC2B0F" w:rsidRDefault="00EC2B0F">
      <w:pPr>
        <w:pStyle w:val="Corpsdetexte"/>
        <w:rPr>
          <w:rFonts w:ascii="Arial"/>
          <w:b/>
        </w:rPr>
      </w:pPr>
    </w:p>
    <w:p w14:paraId="4AC7A097" w14:textId="67688FAE" w:rsidR="00EC2B0F" w:rsidRDefault="00EC2B0F">
      <w:pPr>
        <w:pStyle w:val="Corpsdetexte"/>
        <w:rPr>
          <w:rFonts w:ascii="Arial"/>
          <w:b/>
        </w:rPr>
      </w:pPr>
    </w:p>
    <w:p w14:paraId="5E41804F" w14:textId="11E44A18" w:rsidR="00EC2B0F" w:rsidRDefault="00EC2B0F">
      <w:pPr>
        <w:pStyle w:val="Corpsdetexte"/>
        <w:rPr>
          <w:rFonts w:ascii="Arial"/>
          <w:b/>
        </w:rPr>
      </w:pPr>
    </w:p>
    <w:p w14:paraId="7DFB23B3" w14:textId="269597F2" w:rsidR="00EC2B0F" w:rsidRDefault="00EC2B0F">
      <w:pPr>
        <w:pStyle w:val="Corpsdetexte"/>
        <w:rPr>
          <w:rFonts w:ascii="Arial"/>
          <w:b/>
        </w:rPr>
      </w:pPr>
    </w:p>
    <w:p w14:paraId="53F2D396" w14:textId="25AC15EF" w:rsidR="00EC2B0F" w:rsidRDefault="00EC2B0F">
      <w:pPr>
        <w:pStyle w:val="Corpsdetexte"/>
        <w:rPr>
          <w:rFonts w:ascii="Arial"/>
          <w:b/>
        </w:rPr>
      </w:pPr>
    </w:p>
    <w:p w14:paraId="55D22FA4" w14:textId="7B7A7ACB" w:rsidR="00EC2B0F" w:rsidRDefault="00EC2B0F">
      <w:pPr>
        <w:pStyle w:val="Corpsdetexte"/>
        <w:rPr>
          <w:rFonts w:ascii="Arial"/>
          <w:b/>
        </w:rPr>
      </w:pPr>
    </w:p>
    <w:p w14:paraId="24C5C43F" w14:textId="52065A29" w:rsidR="00EC2B0F" w:rsidRDefault="00EC2B0F">
      <w:pPr>
        <w:pStyle w:val="Corpsdetexte"/>
        <w:rPr>
          <w:rFonts w:ascii="Arial"/>
          <w:b/>
        </w:rPr>
      </w:pPr>
    </w:p>
    <w:p w14:paraId="65242248" w14:textId="0718BDC2" w:rsidR="00EC2B0F" w:rsidRDefault="00EC2B0F">
      <w:pPr>
        <w:pStyle w:val="Corpsdetexte"/>
        <w:rPr>
          <w:rFonts w:ascii="Arial"/>
          <w:b/>
        </w:rPr>
      </w:pPr>
    </w:p>
    <w:p w14:paraId="5B3466EF" w14:textId="77777777" w:rsidR="001314A4" w:rsidRDefault="001314A4">
      <w:pPr>
        <w:pStyle w:val="Corpsdetexte"/>
        <w:rPr>
          <w:rFonts w:ascii="Arial"/>
          <w:b/>
        </w:rPr>
      </w:pPr>
    </w:p>
    <w:p w14:paraId="6BEC6052" w14:textId="6638093F" w:rsidR="00EC2B0F" w:rsidRDefault="00EC2B0F">
      <w:pPr>
        <w:pStyle w:val="Corpsdetexte"/>
        <w:rPr>
          <w:rFonts w:ascii="Arial"/>
          <w:b/>
        </w:rPr>
      </w:pPr>
    </w:p>
    <w:p w14:paraId="23FFD89A" w14:textId="77777777" w:rsidR="00041A9B" w:rsidRDefault="00A9561F">
      <w:pPr>
        <w:pStyle w:val="Corpsdetexte"/>
        <w:spacing w:before="8"/>
        <w:rPr>
          <w:rFonts w:ascii="Arial"/>
          <w:b/>
          <w:sz w:val="14"/>
        </w:rPr>
      </w:pPr>
      <w:r>
        <w:rPr>
          <w:noProof/>
          <w:lang w:eastAsia="fr-FR"/>
        </w:rPr>
        <w:drawing>
          <wp:anchor distT="0" distB="0" distL="0" distR="0" simplePos="0" relativeHeight="251658240" behindDoc="0" locked="0" layoutInCell="1" allowOverlap="1" wp14:anchorId="0E9A47C1" wp14:editId="4FBF7AD9">
            <wp:simplePos x="0" y="0"/>
            <wp:positionH relativeFrom="page">
              <wp:posOffset>899794</wp:posOffset>
            </wp:positionH>
            <wp:positionV relativeFrom="paragraph">
              <wp:posOffset>132071</wp:posOffset>
            </wp:positionV>
            <wp:extent cx="3187280" cy="65151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3187280" cy="651510"/>
                    </a:xfrm>
                    <a:prstGeom prst="rect">
                      <a:avLst/>
                    </a:prstGeom>
                  </pic:spPr>
                </pic:pic>
              </a:graphicData>
            </a:graphic>
          </wp:anchor>
        </w:drawing>
      </w:r>
      <w:r>
        <w:rPr>
          <w:noProof/>
          <w:lang w:eastAsia="fr-FR"/>
        </w:rPr>
        <w:drawing>
          <wp:anchor distT="0" distB="0" distL="0" distR="0" simplePos="0" relativeHeight="251659264" behindDoc="0" locked="0" layoutInCell="1" allowOverlap="1" wp14:anchorId="7FD8B876" wp14:editId="38297AB5">
            <wp:simplePos x="0" y="0"/>
            <wp:positionH relativeFrom="page">
              <wp:posOffset>4234307</wp:posOffset>
            </wp:positionH>
            <wp:positionV relativeFrom="paragraph">
              <wp:posOffset>206999</wp:posOffset>
            </wp:positionV>
            <wp:extent cx="782865" cy="610266"/>
            <wp:effectExtent l="0" t="0" r="0" b="0"/>
            <wp:wrapTopAndBottom/>
            <wp:docPr id="5" name="image3.jpeg" descr="Logo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782865" cy="610266"/>
                    </a:xfrm>
                    <a:prstGeom prst="rect">
                      <a:avLst/>
                    </a:prstGeom>
                  </pic:spPr>
                </pic:pic>
              </a:graphicData>
            </a:graphic>
          </wp:anchor>
        </w:drawing>
      </w:r>
      <w:r>
        <w:rPr>
          <w:noProof/>
          <w:lang w:eastAsia="fr-FR"/>
        </w:rPr>
        <w:drawing>
          <wp:anchor distT="0" distB="0" distL="0" distR="0" simplePos="0" relativeHeight="2" behindDoc="0" locked="0" layoutInCell="1" allowOverlap="1" wp14:anchorId="2A5544B4" wp14:editId="243963CA">
            <wp:simplePos x="0" y="0"/>
            <wp:positionH relativeFrom="page">
              <wp:posOffset>5202456</wp:posOffset>
            </wp:positionH>
            <wp:positionV relativeFrom="paragraph">
              <wp:posOffset>240275</wp:posOffset>
            </wp:positionV>
            <wp:extent cx="853142" cy="512063"/>
            <wp:effectExtent l="0" t="0" r="0" b="0"/>
            <wp:wrapTopAndBottom/>
            <wp:docPr id="7" name="image4.jpeg" descr="Logo_l'Europe s'engage F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853142" cy="512063"/>
                    </a:xfrm>
                    <a:prstGeom prst="rect">
                      <a:avLst/>
                    </a:prstGeom>
                  </pic:spPr>
                </pic:pic>
              </a:graphicData>
            </a:graphic>
          </wp:anchor>
        </w:drawing>
      </w:r>
    </w:p>
    <w:sectPr w:rsidR="00041A9B">
      <w:type w:val="continuous"/>
      <w:pgSz w:w="11910" w:h="16840"/>
      <w:pgMar w:top="1580" w:right="86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9B"/>
    <w:rsid w:val="00041A9B"/>
    <w:rsid w:val="0005061A"/>
    <w:rsid w:val="000D0549"/>
    <w:rsid w:val="000E48E7"/>
    <w:rsid w:val="001314A4"/>
    <w:rsid w:val="001324A1"/>
    <w:rsid w:val="001D6CA5"/>
    <w:rsid w:val="002A22CA"/>
    <w:rsid w:val="002B7E9F"/>
    <w:rsid w:val="002C6E3F"/>
    <w:rsid w:val="0030688C"/>
    <w:rsid w:val="003723F8"/>
    <w:rsid w:val="00417CCE"/>
    <w:rsid w:val="00514DDD"/>
    <w:rsid w:val="00514E6A"/>
    <w:rsid w:val="00577796"/>
    <w:rsid w:val="005A7B15"/>
    <w:rsid w:val="005D3FE8"/>
    <w:rsid w:val="00693022"/>
    <w:rsid w:val="006B047A"/>
    <w:rsid w:val="0075101D"/>
    <w:rsid w:val="00754335"/>
    <w:rsid w:val="00863B1D"/>
    <w:rsid w:val="008A1224"/>
    <w:rsid w:val="008B7BF3"/>
    <w:rsid w:val="0098326A"/>
    <w:rsid w:val="00A9561F"/>
    <w:rsid w:val="00AF2C69"/>
    <w:rsid w:val="00CA18E3"/>
    <w:rsid w:val="00CA2E54"/>
    <w:rsid w:val="00DE74AA"/>
    <w:rsid w:val="00E168ED"/>
    <w:rsid w:val="00E32337"/>
    <w:rsid w:val="00EC2B0F"/>
    <w:rsid w:val="00F26BB3"/>
    <w:rsid w:val="00F848BB"/>
    <w:rsid w:val="00F93497"/>
    <w:rsid w:val="00FC34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22AA"/>
  <w15:docId w15:val="{0704C7AD-33A5-4427-B270-9C883235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crosoft Sans Serif" w:eastAsia="Microsoft Sans Serif" w:hAnsi="Microsoft Sans Serif" w:cs="Microsoft Sans Serif"/>
      <w:lang w:val="fr-FR"/>
    </w:rPr>
  </w:style>
  <w:style w:type="paragraph" w:styleId="Titre1">
    <w:name w:val="heading 1"/>
    <w:basedOn w:val="Normal"/>
    <w:uiPriority w:val="1"/>
    <w:qFormat/>
    <w:pPr>
      <w:spacing w:before="92"/>
      <w:ind w:left="176" w:right="556"/>
      <w:jc w:val="center"/>
      <w:outlineLvl w:val="0"/>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A9561F"/>
    <w:rPr>
      <w:sz w:val="16"/>
      <w:szCs w:val="16"/>
    </w:rPr>
  </w:style>
  <w:style w:type="paragraph" w:styleId="Commentaire">
    <w:name w:val="annotation text"/>
    <w:basedOn w:val="Normal"/>
    <w:link w:val="CommentaireCar"/>
    <w:uiPriority w:val="99"/>
    <w:semiHidden/>
    <w:unhideWhenUsed/>
    <w:rsid w:val="00A9561F"/>
    <w:rPr>
      <w:sz w:val="20"/>
      <w:szCs w:val="20"/>
    </w:rPr>
  </w:style>
  <w:style w:type="character" w:customStyle="1" w:styleId="CommentaireCar">
    <w:name w:val="Commentaire Car"/>
    <w:basedOn w:val="Policepardfaut"/>
    <w:link w:val="Commentaire"/>
    <w:uiPriority w:val="99"/>
    <w:semiHidden/>
    <w:rsid w:val="00A9561F"/>
    <w:rPr>
      <w:rFonts w:ascii="Microsoft Sans Serif" w:eastAsia="Microsoft Sans Serif" w:hAnsi="Microsoft Sans Serif" w:cs="Microsoft Sans Serif"/>
      <w:sz w:val="20"/>
      <w:szCs w:val="20"/>
      <w:lang w:val="fr-FR"/>
    </w:rPr>
  </w:style>
  <w:style w:type="paragraph" w:styleId="Objetducommentaire">
    <w:name w:val="annotation subject"/>
    <w:basedOn w:val="Commentaire"/>
    <w:next w:val="Commentaire"/>
    <w:link w:val="ObjetducommentaireCar"/>
    <w:uiPriority w:val="99"/>
    <w:semiHidden/>
    <w:unhideWhenUsed/>
    <w:rsid w:val="00A9561F"/>
    <w:rPr>
      <w:b/>
      <w:bCs/>
    </w:rPr>
  </w:style>
  <w:style w:type="character" w:customStyle="1" w:styleId="ObjetducommentaireCar">
    <w:name w:val="Objet du commentaire Car"/>
    <w:basedOn w:val="CommentaireCar"/>
    <w:link w:val="Objetducommentaire"/>
    <w:uiPriority w:val="99"/>
    <w:semiHidden/>
    <w:rsid w:val="00A9561F"/>
    <w:rPr>
      <w:rFonts w:ascii="Microsoft Sans Serif" w:eastAsia="Microsoft Sans Serif" w:hAnsi="Microsoft Sans Serif" w:cs="Microsoft Sans Serif"/>
      <w:b/>
      <w:bCs/>
      <w:sz w:val="20"/>
      <w:szCs w:val="20"/>
      <w:lang w:val="fr-FR"/>
    </w:rPr>
  </w:style>
  <w:style w:type="paragraph" w:styleId="Textedebulles">
    <w:name w:val="Balloon Text"/>
    <w:basedOn w:val="Normal"/>
    <w:link w:val="TextedebullesCar"/>
    <w:uiPriority w:val="99"/>
    <w:semiHidden/>
    <w:unhideWhenUsed/>
    <w:rsid w:val="00A956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561F"/>
    <w:rPr>
      <w:rFonts w:ascii="Segoe UI" w:eastAsia="Microsoft Sans Serif"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973</Words>
  <Characters>5356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BARBOSA DE AMORIM Pauline</dc:creator>
  <cp:lastModifiedBy>LELOIR Manon</cp:lastModifiedBy>
  <cp:revision>2</cp:revision>
  <dcterms:created xsi:type="dcterms:W3CDTF">2023-12-11T09:31:00Z</dcterms:created>
  <dcterms:modified xsi:type="dcterms:W3CDTF">2023-12-11T09:31:00Z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2016</vt:lpwstr>
  </property>
  <property fmtid="{D5CDD505-2E9C-101B-9397-08002B2CF9AE}" pid="4" name="LastSaved">
    <vt:filetime>2023-04-13T00:00:00Z</vt:filetime>
  </property>
</Properties>
</file>